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012A6" w14:textId="14D05663" w:rsidR="00C53F39" w:rsidRPr="0076660D" w:rsidRDefault="00C53F39" w:rsidP="00C53F39">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4C3AC3" w:rsidRPr="004C3AC3">
        <w:rPr>
          <w:b/>
          <w:color w:val="000000" w:themeColor="text1"/>
          <w:sz w:val="24"/>
        </w:rPr>
        <w:t>4075</w:t>
      </w:r>
    </w:p>
    <w:p w14:paraId="3FF84C03" w14:textId="3DB0770D" w:rsidR="00C53F39" w:rsidRPr="00BC0557" w:rsidRDefault="00C53F39" w:rsidP="00C53F39">
      <w:pPr>
        <w:pStyle w:val="Header"/>
        <w:rPr>
          <w:b/>
          <w:sz w:val="24"/>
        </w:rPr>
      </w:pPr>
      <w:r>
        <w:rPr>
          <w:b/>
          <w:sz w:val="24"/>
        </w:rPr>
        <w:t>e-Meeting, May 25 – June 0</w:t>
      </w:r>
      <w:r w:rsidR="009B7A94">
        <w:rPr>
          <w:b/>
          <w:sz w:val="24"/>
        </w:rPr>
        <w:t>5</w:t>
      </w:r>
      <w:r>
        <w:rPr>
          <w:b/>
          <w:sz w:val="24"/>
        </w:rPr>
        <w:t>, 2020</w:t>
      </w:r>
    </w:p>
    <w:bookmarkEnd w:id="0"/>
    <w:p w14:paraId="2A0E09CD" w14:textId="77777777" w:rsidR="00BC0557" w:rsidRDefault="00BC0557" w:rsidP="00BC0557"/>
    <w:p w14:paraId="779ABF42" w14:textId="34404BB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w:t>
      </w:r>
      <w:r w:rsidR="00407EDE">
        <w:t>3</w:t>
      </w:r>
    </w:p>
    <w:p w14:paraId="06A83340" w14:textId="619B7812"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07EDE" w:rsidRPr="00644701">
        <w:rPr>
          <w:color w:val="000000" w:themeColor="text1"/>
        </w:rPr>
        <w:t>On other aspects</w:t>
      </w:r>
      <w:r w:rsidR="004F1DD9" w:rsidRPr="00644701">
        <w:rPr>
          <w:color w:val="000000" w:themeColor="text1"/>
        </w:rPr>
        <w:t xml:space="preserve"> </w:t>
      </w:r>
      <w:r w:rsidR="00407EDE" w:rsidRPr="00644701">
        <w:rPr>
          <w:color w:val="000000" w:themeColor="text1"/>
        </w:rPr>
        <w:t>of</w:t>
      </w:r>
      <w:r w:rsidR="004F1DD9" w:rsidRPr="00644701">
        <w:rPr>
          <w:color w:val="000000" w:themeColor="text1"/>
        </w:rPr>
        <w:t xml:space="preserve"> </w:t>
      </w:r>
      <w:r w:rsidR="0079341C" w:rsidRPr="00644701">
        <w:rPr>
          <w:color w:val="000000" w:themeColor="text1"/>
        </w:rPr>
        <w:t>mode 2</w:t>
      </w:r>
      <w:r w:rsidR="00407EDE" w:rsidRPr="00644701">
        <w:rPr>
          <w:color w:val="000000" w:themeColor="text1"/>
        </w:rPr>
        <w:t xml:space="preserve"> resource allocation</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07D32B5C" w:rsidR="00BC0557" w:rsidRPr="00BC0557" w:rsidRDefault="00BC0557" w:rsidP="00043922">
      <w:pPr>
        <w:spacing w:after="120"/>
        <w:rPr>
          <w:b/>
          <w:sz w:val="22"/>
        </w:rPr>
      </w:pPr>
      <w:r w:rsidRPr="00BC0557">
        <w:rPr>
          <w:b/>
          <w:sz w:val="22"/>
        </w:rPr>
        <w:t>1. Introduction</w:t>
      </w:r>
      <w:r w:rsidR="00407EDE">
        <w:rPr>
          <w:b/>
          <w:sz w:val="22"/>
        </w:rPr>
        <w:t xml:space="preserve"> / background</w:t>
      </w:r>
    </w:p>
    <w:p w14:paraId="7A5370C9" w14:textId="457615A3" w:rsidR="00B04603" w:rsidRPr="00C9793B" w:rsidRDefault="000245F2" w:rsidP="00C9793B">
      <w:pPr>
        <w:pStyle w:val="BodyText"/>
        <w:spacing w:after="120"/>
        <w:rPr>
          <w:color w:val="000000" w:themeColor="text1"/>
          <w:sz w:val="20"/>
        </w:rPr>
      </w:pPr>
      <w:r w:rsidRPr="000245F2">
        <w:rPr>
          <w:color w:val="000000" w:themeColor="text1"/>
          <w:sz w:val="20"/>
        </w:rPr>
        <w:t xml:space="preserve">For NR SL resource allocation in mode 1 and mode 2, besides the DCI </w:t>
      </w:r>
      <w:r w:rsidR="004F71A1">
        <w:rPr>
          <w:color w:val="000000" w:themeColor="text1"/>
          <w:sz w:val="20"/>
        </w:rPr>
        <w:t>signalling</w:t>
      </w:r>
      <w:r w:rsidRPr="000245F2">
        <w:rPr>
          <w:color w:val="000000" w:themeColor="text1"/>
          <w:sz w:val="20"/>
        </w:rPr>
        <w:t xml:space="preserve"> contents, resource sensing, (re)selection and </w:t>
      </w:r>
      <w:r w:rsidR="004F71A1">
        <w:rPr>
          <w:color w:val="000000" w:themeColor="text1"/>
          <w:sz w:val="20"/>
        </w:rPr>
        <w:t>(re)evaluation</w:t>
      </w:r>
      <w:r w:rsidRPr="000245F2">
        <w:rPr>
          <w:color w:val="000000" w:themeColor="text1"/>
          <w:sz w:val="20"/>
        </w:rPr>
        <w:t xml:space="preserve"> procedures, other </w:t>
      </w:r>
      <w:r w:rsidR="00BD4B6A">
        <w:rPr>
          <w:color w:val="000000" w:themeColor="text1"/>
          <w:sz w:val="20"/>
        </w:rPr>
        <w:t>smaller</w:t>
      </w:r>
      <w:r w:rsidRPr="000245F2">
        <w:rPr>
          <w:color w:val="000000" w:themeColor="text1"/>
          <w:sz w:val="20"/>
        </w:rPr>
        <w:t xml:space="preserve"> details such as </w:t>
      </w:r>
      <w:r w:rsidR="00EC6011">
        <w:rPr>
          <w:color w:val="000000" w:themeColor="text1"/>
          <w:sz w:val="20"/>
        </w:rPr>
        <w:t xml:space="preserve">the time length of T0 for the sensing period still in [ ], half duplexing issue in groupcast and unicast, and handling of reserved but unused resources </w:t>
      </w:r>
      <w:r w:rsidRPr="000245F2">
        <w:rPr>
          <w:color w:val="000000" w:themeColor="text1"/>
          <w:sz w:val="20"/>
        </w:rPr>
        <w:t xml:space="preserve">that are </w:t>
      </w:r>
      <w:r w:rsidR="00EC6011">
        <w:rPr>
          <w:color w:val="000000" w:themeColor="text1"/>
          <w:sz w:val="20"/>
        </w:rPr>
        <w:t xml:space="preserve">still </w:t>
      </w:r>
      <w:r w:rsidRPr="000245F2">
        <w:rPr>
          <w:color w:val="000000" w:themeColor="text1"/>
          <w:sz w:val="20"/>
        </w:rPr>
        <w:t xml:space="preserve">part of mode 2 </w:t>
      </w:r>
      <w:r w:rsidR="00EC6011">
        <w:rPr>
          <w:color w:val="000000" w:themeColor="text1"/>
          <w:sz w:val="20"/>
        </w:rPr>
        <w:t xml:space="preserve">procedure </w:t>
      </w:r>
      <w:r w:rsidRPr="000245F2">
        <w:rPr>
          <w:color w:val="000000" w:themeColor="text1"/>
          <w:sz w:val="20"/>
        </w:rPr>
        <w:t xml:space="preserve">should be </w:t>
      </w:r>
      <w:r w:rsidR="00EC6011">
        <w:rPr>
          <w:color w:val="000000" w:themeColor="text1"/>
          <w:sz w:val="20"/>
        </w:rPr>
        <w:t>resolved</w:t>
      </w:r>
      <w:r w:rsidRPr="000245F2">
        <w:rPr>
          <w:color w:val="000000" w:themeColor="text1"/>
          <w:sz w:val="20"/>
        </w:rPr>
        <w:t xml:space="preserve"> as well. In this contribution, briefly discuss these remaining aspects.</w:t>
      </w:r>
    </w:p>
    <w:p w14:paraId="2DDFB004" w14:textId="77777777" w:rsidR="00BC0557" w:rsidRPr="00A220C6" w:rsidRDefault="00BC0557" w:rsidP="00C9793B">
      <w:pPr>
        <w:spacing w:after="120"/>
        <w:rPr>
          <w:b/>
          <w:color w:val="000000" w:themeColor="text1"/>
          <w:sz w:val="22"/>
        </w:rPr>
      </w:pPr>
      <w:r w:rsidRPr="00A220C6">
        <w:rPr>
          <w:b/>
          <w:color w:val="000000" w:themeColor="text1"/>
          <w:sz w:val="22"/>
        </w:rPr>
        <w:t>2. Discussion</w:t>
      </w:r>
    </w:p>
    <w:p w14:paraId="45FD9DD7" w14:textId="1BBD6B28" w:rsidR="00F32096" w:rsidRPr="00F6691C" w:rsidRDefault="00F32096" w:rsidP="00F32096">
      <w:pPr>
        <w:spacing w:before="240" w:after="120"/>
        <w:rPr>
          <w:b/>
          <w:color w:val="000000" w:themeColor="text1"/>
          <w:sz w:val="22"/>
          <w:szCs w:val="20"/>
        </w:rPr>
      </w:pPr>
      <w:r w:rsidRPr="00F6691C">
        <w:rPr>
          <w:b/>
          <w:color w:val="000000" w:themeColor="text1"/>
          <w:sz w:val="22"/>
          <w:szCs w:val="20"/>
        </w:rPr>
        <w:t>2.</w:t>
      </w:r>
      <w:r>
        <w:rPr>
          <w:b/>
          <w:color w:val="000000" w:themeColor="text1"/>
          <w:sz w:val="22"/>
          <w:szCs w:val="20"/>
        </w:rPr>
        <w:t>1</w:t>
      </w:r>
      <w:r w:rsidRPr="00F6691C">
        <w:rPr>
          <w:b/>
          <w:color w:val="000000" w:themeColor="text1"/>
          <w:sz w:val="22"/>
          <w:szCs w:val="20"/>
        </w:rPr>
        <w:t xml:space="preserve"> </w:t>
      </w:r>
      <w:r>
        <w:rPr>
          <w:b/>
          <w:color w:val="000000" w:themeColor="text1"/>
          <w:sz w:val="22"/>
          <w:szCs w:val="20"/>
        </w:rPr>
        <w:t>T0 for the sensing period</w:t>
      </w:r>
    </w:p>
    <w:tbl>
      <w:tblPr>
        <w:tblStyle w:val="TableGrid"/>
        <w:tblW w:w="0" w:type="auto"/>
        <w:tblLook w:val="04A0" w:firstRow="1" w:lastRow="0" w:firstColumn="1" w:lastColumn="0" w:noHBand="0" w:noVBand="1"/>
      </w:tblPr>
      <w:tblGrid>
        <w:gridCol w:w="9016"/>
      </w:tblGrid>
      <w:tr w:rsidR="00F32096" w14:paraId="36ADECDA" w14:textId="77777777" w:rsidTr="00B1669D">
        <w:tc>
          <w:tcPr>
            <w:tcW w:w="9016" w:type="dxa"/>
          </w:tcPr>
          <w:p w14:paraId="2D9D1999" w14:textId="77777777" w:rsidR="00F32096" w:rsidRPr="00AE3275" w:rsidRDefault="00F32096" w:rsidP="00B1669D">
            <w:pPr>
              <w:spacing w:before="120"/>
              <w:rPr>
                <w:rFonts w:ascii="Times New Roman"/>
                <w:szCs w:val="20"/>
                <w:lang w:eastAsia="x-none"/>
              </w:rPr>
            </w:pPr>
            <w:bookmarkStart w:id="1" w:name="_Hlk1108314"/>
            <w:r w:rsidRPr="004F71A1">
              <w:rPr>
                <w:rFonts w:ascii="Times New Roman"/>
                <w:b/>
                <w:bCs/>
                <w:szCs w:val="20"/>
                <w:highlight w:val="green"/>
                <w:lang w:eastAsia="x-none"/>
              </w:rPr>
              <w:t>Agreements</w:t>
            </w:r>
            <w:r w:rsidRPr="00AE3275">
              <w:rPr>
                <w:rFonts w:ascii="Times New Roman"/>
                <w:szCs w:val="20"/>
                <w:lang w:eastAsia="x-none"/>
              </w:rPr>
              <w:t>:</w:t>
            </w:r>
          </w:p>
          <w:p w14:paraId="7EEBC9E9" w14:textId="77777777" w:rsidR="00F32096" w:rsidRPr="004F71A1" w:rsidRDefault="00F32096" w:rsidP="00F32096">
            <w:pPr>
              <w:numPr>
                <w:ilvl w:val="0"/>
                <w:numId w:val="32"/>
              </w:numPr>
              <w:overflowPunct w:val="0"/>
              <w:adjustRightInd w:val="0"/>
              <w:spacing w:after="120"/>
              <w:textAlignment w:val="baseline"/>
              <w:rPr>
                <w:rFonts w:ascii="Times New Roman"/>
                <w:szCs w:val="20"/>
                <w:lang w:eastAsia="en-US"/>
              </w:rPr>
            </w:pPr>
            <w:r w:rsidRPr="00AE3275">
              <w:rPr>
                <w:rFonts w:ascii="Times New Roman"/>
                <w:szCs w:val="20"/>
                <w:lang w:eastAsia="en-US"/>
              </w:rPr>
              <w:t>T0 is (pre)-configured between: 1000</w:t>
            </w:r>
            <w:proofErr w:type="gramStart"/>
            <w:r w:rsidRPr="00AE3275">
              <w:rPr>
                <w:rFonts w:ascii="Times New Roman"/>
                <w:szCs w:val="20"/>
                <w:lang w:eastAsia="en-US"/>
              </w:rPr>
              <w:t>+[</w:t>
            </w:r>
            <w:proofErr w:type="gramEnd"/>
            <w:r w:rsidRPr="00AE3275">
              <w:rPr>
                <w:rFonts w:ascii="Times New Roman"/>
                <w:szCs w:val="20"/>
                <w:lang w:eastAsia="en-US"/>
              </w:rPr>
              <w:t>100]</w:t>
            </w:r>
            <w:proofErr w:type="spellStart"/>
            <w:r w:rsidRPr="00AE3275">
              <w:rPr>
                <w:rFonts w:ascii="Times New Roman"/>
                <w:szCs w:val="20"/>
                <w:lang w:eastAsia="en-US"/>
              </w:rPr>
              <w:t>ms</w:t>
            </w:r>
            <w:proofErr w:type="spellEnd"/>
            <w:r w:rsidRPr="00AE3275">
              <w:rPr>
                <w:rFonts w:ascii="Times New Roman"/>
                <w:szCs w:val="20"/>
                <w:lang w:eastAsia="en-US"/>
              </w:rPr>
              <w:t xml:space="preserve"> and [100]</w:t>
            </w:r>
            <w:proofErr w:type="spellStart"/>
            <w:r w:rsidRPr="00AE3275">
              <w:rPr>
                <w:rFonts w:ascii="Times New Roman"/>
                <w:szCs w:val="20"/>
                <w:lang w:eastAsia="en-US"/>
              </w:rPr>
              <w:t>ms</w:t>
            </w:r>
            <w:proofErr w:type="spellEnd"/>
          </w:p>
        </w:tc>
      </w:tr>
    </w:tbl>
    <w:p w14:paraId="49642EC0" w14:textId="77777777" w:rsidR="00F32096" w:rsidRDefault="00F32096" w:rsidP="00F32096">
      <w:pPr>
        <w:pStyle w:val="CommentText"/>
        <w:spacing w:after="0"/>
        <w:rPr>
          <w:color w:val="000000" w:themeColor="text1"/>
        </w:rPr>
      </w:pPr>
    </w:p>
    <w:p w14:paraId="23626780" w14:textId="77777777" w:rsidR="00F32096" w:rsidRPr="00E57A64" w:rsidRDefault="00F32096" w:rsidP="00F32096">
      <w:pPr>
        <w:pStyle w:val="CommentText"/>
        <w:spacing w:after="120"/>
        <w:rPr>
          <w:color w:val="000000" w:themeColor="text1"/>
        </w:rPr>
      </w:pPr>
      <w:r w:rsidRPr="00E57A64">
        <w:rPr>
          <w:color w:val="000000" w:themeColor="text1"/>
        </w:rPr>
        <w:t>T0 in mode 2 RA is defined as the length of the sensing period (or a point in time in the past). If the sensing period is too short, then a resource selecting UE may be in a high risk of selecting resource(s) that have already been reserved earlier and intended to be used by others. For example, in a resource pool where it is possible to reserve of an initial transmission of a TB by an SCI associated with a different TB. On the other hand, if the sensing period is too long, then it is wasting a resource selecting UE’s processing power and memory buffer to keep track and store all resource reservation details from other UEs. For example, in a resource pool where only aperiodic V2X traffic is expected and the resource selection window is limited by only 32 slots. As such, it was agreed in RAN1#99 [1] (as shown above) that T0 should be made (pre-)configurable per resource pool between a long value for periodic reservation and a short value for only aperiodic traffic.</w:t>
      </w:r>
    </w:p>
    <w:p w14:paraId="1129549F" w14:textId="7B2DE0AA" w:rsidR="00F32096" w:rsidRPr="00E57A64" w:rsidRDefault="00F32096" w:rsidP="00F32096">
      <w:pPr>
        <w:pStyle w:val="CommentText"/>
        <w:spacing w:after="120"/>
        <w:rPr>
          <w:color w:val="000000" w:themeColor="text1"/>
        </w:rPr>
      </w:pPr>
      <w:r w:rsidRPr="00E57A64">
        <w:rPr>
          <w:color w:val="000000" w:themeColor="text1"/>
        </w:rPr>
        <w:t>For the aperiodic traffic resource pool, limiting the sensing window to [100]</w:t>
      </w:r>
      <w:proofErr w:type="spellStart"/>
      <w:r w:rsidRPr="00E57A64">
        <w:rPr>
          <w:color w:val="000000" w:themeColor="text1"/>
        </w:rPr>
        <w:t>ms</w:t>
      </w:r>
      <w:proofErr w:type="spellEnd"/>
      <w:r w:rsidRPr="00E57A64">
        <w:rPr>
          <w:color w:val="000000" w:themeColor="text1"/>
        </w:rPr>
        <w:t xml:space="preserve"> seems reasonable as the resource selection window is limited to 32 slots. For the periodic reservation resource pool, however, it is unclear the rationale behind the value of 1000</w:t>
      </w:r>
      <w:r w:rsidR="00C20D72">
        <w:rPr>
          <w:color w:val="000000" w:themeColor="text1"/>
        </w:rPr>
        <w:t xml:space="preserve"> </w:t>
      </w:r>
      <w:r w:rsidRPr="00E57A64">
        <w:rPr>
          <w:color w:val="000000" w:themeColor="text1"/>
        </w:rPr>
        <w:t>+</w:t>
      </w:r>
      <w:r w:rsidR="00C20D72">
        <w:rPr>
          <w:color w:val="000000" w:themeColor="text1"/>
        </w:rPr>
        <w:t xml:space="preserve"> </w:t>
      </w:r>
      <w:r w:rsidRPr="00E57A64">
        <w:rPr>
          <w:color w:val="000000" w:themeColor="text1"/>
        </w:rPr>
        <w:t>[100]</w:t>
      </w:r>
      <w:proofErr w:type="spellStart"/>
      <w:r w:rsidRPr="00E57A64">
        <w:rPr>
          <w:color w:val="000000" w:themeColor="text1"/>
        </w:rPr>
        <w:t>ms</w:t>
      </w:r>
      <w:proofErr w:type="spellEnd"/>
      <w:r w:rsidRPr="00E57A64">
        <w:rPr>
          <w:color w:val="000000" w:themeColor="text1"/>
        </w:rPr>
        <w:t>. If following the definition of sensing period in LTE-V2X, 1000ms would be enough to cover the longest resource reservation interval. Adding the extra 100ms would not seem to be all that necessary. To keep it simple, we suggest to make T0 (pre)-configured between: 1000ms and 100ms.</w:t>
      </w:r>
    </w:p>
    <w:bookmarkEnd w:id="1"/>
    <w:p w14:paraId="79A0174C" w14:textId="753E0629" w:rsidR="00F32096" w:rsidRPr="003232C3" w:rsidRDefault="00F32096" w:rsidP="00F32096">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1</w:t>
      </w:r>
      <w:r w:rsidRPr="00E57A64">
        <w:rPr>
          <w:rFonts w:ascii="Arial" w:hAnsi="Arial" w:cs="Arial"/>
          <w:b/>
          <w:i/>
          <w:color w:val="000000" w:themeColor="text1"/>
          <w:sz w:val="20"/>
        </w:rPr>
        <w:t>: T0 should be made (pre)-configured between: 1000ms and 100ms.</w:t>
      </w:r>
    </w:p>
    <w:p w14:paraId="0AC58BDA" w14:textId="6B3FEB37" w:rsidR="00F32096" w:rsidRPr="00F6691C" w:rsidRDefault="00F32096" w:rsidP="00F32096">
      <w:pPr>
        <w:spacing w:before="240" w:after="120"/>
        <w:rPr>
          <w:b/>
          <w:color w:val="000000" w:themeColor="text1"/>
          <w:sz w:val="22"/>
          <w:szCs w:val="20"/>
        </w:rPr>
      </w:pPr>
      <w:r w:rsidRPr="00F6691C">
        <w:rPr>
          <w:b/>
          <w:color w:val="000000" w:themeColor="text1"/>
          <w:sz w:val="22"/>
          <w:szCs w:val="20"/>
        </w:rPr>
        <w:t>2.</w:t>
      </w:r>
      <w:r>
        <w:rPr>
          <w:b/>
          <w:color w:val="000000" w:themeColor="text1"/>
          <w:sz w:val="22"/>
          <w:szCs w:val="20"/>
        </w:rPr>
        <w:t>2</w:t>
      </w:r>
      <w:r w:rsidRPr="00F6691C">
        <w:rPr>
          <w:b/>
          <w:color w:val="000000" w:themeColor="text1"/>
          <w:sz w:val="22"/>
          <w:szCs w:val="20"/>
        </w:rPr>
        <w:t xml:space="preserve"> </w:t>
      </w:r>
      <w:r>
        <w:rPr>
          <w:b/>
          <w:color w:val="000000" w:themeColor="text1"/>
          <w:sz w:val="22"/>
          <w:szCs w:val="20"/>
        </w:rPr>
        <w:t>H</w:t>
      </w:r>
      <w:r w:rsidRPr="00F32096">
        <w:rPr>
          <w:b/>
          <w:color w:val="000000" w:themeColor="text1"/>
          <w:sz w:val="22"/>
          <w:szCs w:val="20"/>
        </w:rPr>
        <w:t xml:space="preserve">alf-duplexing </w:t>
      </w:r>
      <w:r w:rsidR="00EC6011">
        <w:rPr>
          <w:b/>
          <w:color w:val="000000" w:themeColor="text1"/>
          <w:sz w:val="22"/>
          <w:szCs w:val="20"/>
        </w:rPr>
        <w:t>in groupcast and unicast</w:t>
      </w:r>
    </w:p>
    <w:p w14:paraId="3EB21F89" w14:textId="09BADE96" w:rsidR="00F32096" w:rsidRPr="00E57A64" w:rsidRDefault="00C77397">
      <w:pPr>
        <w:pStyle w:val="CommentText"/>
        <w:spacing w:after="120"/>
        <w:rPr>
          <w:color w:val="000000" w:themeColor="text1"/>
        </w:rPr>
      </w:pPr>
      <w:r>
        <w:rPr>
          <w:color w:val="000000" w:themeColor="text1"/>
        </w:rPr>
        <w:t>The whole half-duplexing issue of one UE not be able to hear another UE’s transmissions when they are transmitting at the same time was a particular concern when the UEs belong to the same group (e.g. unicast and groupcast) and their messages are intended for each other. As such, there were suggestions to put some of source or destination IDs in the 1</w:t>
      </w:r>
      <w:r w:rsidRPr="00C77397">
        <w:rPr>
          <w:color w:val="000000" w:themeColor="text1"/>
          <w:vertAlign w:val="superscript"/>
        </w:rPr>
        <w:t>st</w:t>
      </w:r>
      <w:r>
        <w:rPr>
          <w:color w:val="000000" w:themeColor="text1"/>
        </w:rPr>
        <w:t xml:space="preserve"> stage (SCI format 0-1) to help sensing UEs to avoid </w:t>
      </w:r>
      <w:r w:rsidR="00BF4438">
        <w:rPr>
          <w:color w:val="000000" w:themeColor="text1"/>
        </w:rPr>
        <w:t>selecting or</w:t>
      </w:r>
      <w:r>
        <w:rPr>
          <w:color w:val="000000" w:themeColor="text1"/>
        </w:rPr>
        <w:t xml:space="preserve"> exclude slots </w:t>
      </w:r>
      <w:r w:rsidR="00BF4438">
        <w:rPr>
          <w:color w:val="000000" w:themeColor="text1"/>
        </w:rPr>
        <w:t xml:space="preserve">where members of the same unicast/groupcast session intend to transmit. However, in the existing SL transmission and HARQ feedback designs, if a Tx-UE does to receive a HARQ feedback from one of its groupcast / unicast members (i.e. DTX), the Tx-UE should retransmit the same TB. And there can be up to 32 transmission opportunities for one TB. Furthermore, when the periodic reservation feature is enabled for a resource pool, the chances for </w:t>
      </w:r>
      <w:r w:rsidR="0031670D">
        <w:rPr>
          <w:color w:val="000000" w:themeColor="text1"/>
        </w:rPr>
        <w:t>a persistent collision is quite low. Combining with all these, the issue of half-duplexing in groupcast and unicast becomes less prominent. Furthermore, the full source and destination IDs are included as part of 2</w:t>
      </w:r>
      <w:r w:rsidR="0031670D" w:rsidRPr="0031670D">
        <w:rPr>
          <w:color w:val="000000" w:themeColor="text1"/>
          <w:vertAlign w:val="superscript"/>
        </w:rPr>
        <w:t>nd</w:t>
      </w:r>
      <w:r w:rsidR="0031670D">
        <w:rPr>
          <w:color w:val="000000" w:themeColor="text1"/>
        </w:rPr>
        <w:t xml:space="preserve"> stage (SCI format 0-2). It is never prevented for a UE implementation from using this information to help with selection of resources in the MAC layer. Therefore, we propose the following.</w:t>
      </w:r>
    </w:p>
    <w:p w14:paraId="527091E0" w14:textId="3988D346" w:rsidR="00F32096" w:rsidRPr="003232C3" w:rsidRDefault="00F32096" w:rsidP="00F32096">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lastRenderedPageBreak/>
        <w:t xml:space="preserve">Proposal </w:t>
      </w:r>
      <w:r>
        <w:rPr>
          <w:rFonts w:ascii="Arial" w:hAnsi="Arial" w:cs="Arial"/>
          <w:b/>
          <w:i/>
          <w:color w:val="000000" w:themeColor="text1"/>
          <w:sz w:val="20"/>
        </w:rPr>
        <w:t>2</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 xml:space="preserve">special optimization/handling for </w:t>
      </w:r>
      <w:r w:rsidR="00EC6011">
        <w:rPr>
          <w:rFonts w:ascii="Arial" w:hAnsi="Arial" w:cs="Arial"/>
          <w:b/>
          <w:i/>
          <w:color w:val="000000" w:themeColor="text1"/>
          <w:sz w:val="20"/>
        </w:rPr>
        <w:t xml:space="preserve">the </w:t>
      </w:r>
      <w:r w:rsidRPr="00F32096">
        <w:rPr>
          <w:rFonts w:ascii="Arial" w:hAnsi="Arial" w:cs="Arial"/>
          <w:b/>
          <w:i/>
          <w:color w:val="000000" w:themeColor="text1"/>
          <w:sz w:val="20"/>
        </w:rPr>
        <w:t xml:space="preserve">half-duplexing </w:t>
      </w:r>
      <w:r w:rsidR="00EC6011">
        <w:rPr>
          <w:rFonts w:ascii="Arial" w:hAnsi="Arial" w:cs="Arial"/>
          <w:b/>
          <w:i/>
          <w:color w:val="000000" w:themeColor="text1"/>
          <w:sz w:val="20"/>
        </w:rPr>
        <w:t>issue in groupcast and unicast</w:t>
      </w:r>
      <w:r>
        <w:rPr>
          <w:rFonts w:ascii="Arial" w:hAnsi="Arial" w:cs="Arial"/>
          <w:b/>
          <w:i/>
          <w:color w:val="000000" w:themeColor="text1"/>
          <w:sz w:val="20"/>
        </w:rPr>
        <w:t>.</w:t>
      </w:r>
    </w:p>
    <w:p w14:paraId="58913FFA" w14:textId="12AFAA9A" w:rsidR="00EC6011" w:rsidRPr="00F6691C" w:rsidRDefault="00EC6011" w:rsidP="00EC6011">
      <w:pPr>
        <w:spacing w:before="240" w:after="120"/>
        <w:rPr>
          <w:b/>
          <w:color w:val="000000" w:themeColor="text1"/>
          <w:sz w:val="22"/>
          <w:szCs w:val="20"/>
        </w:rPr>
      </w:pPr>
      <w:r w:rsidRPr="00F6691C">
        <w:rPr>
          <w:b/>
          <w:color w:val="000000" w:themeColor="text1"/>
          <w:sz w:val="22"/>
          <w:szCs w:val="20"/>
        </w:rPr>
        <w:t>2.</w:t>
      </w:r>
      <w:r>
        <w:rPr>
          <w:b/>
          <w:color w:val="000000" w:themeColor="text1"/>
          <w:sz w:val="22"/>
          <w:szCs w:val="20"/>
        </w:rPr>
        <w:t>3</w:t>
      </w:r>
      <w:r w:rsidRPr="00F6691C">
        <w:rPr>
          <w:b/>
          <w:color w:val="000000" w:themeColor="text1"/>
          <w:sz w:val="22"/>
          <w:szCs w:val="20"/>
        </w:rPr>
        <w:t xml:space="preserve"> </w:t>
      </w:r>
      <w:r>
        <w:rPr>
          <w:b/>
          <w:color w:val="000000" w:themeColor="text1"/>
          <w:sz w:val="22"/>
          <w:szCs w:val="20"/>
        </w:rPr>
        <w:t>Handling of</w:t>
      </w:r>
      <w:r w:rsidRPr="00F32096">
        <w:rPr>
          <w:b/>
          <w:color w:val="000000" w:themeColor="text1"/>
          <w:sz w:val="22"/>
          <w:szCs w:val="20"/>
        </w:rPr>
        <w:t xml:space="preserve"> reserved but unused resources</w:t>
      </w:r>
    </w:p>
    <w:p w14:paraId="2AD4D4A7" w14:textId="3FDEB598" w:rsidR="00EC6011" w:rsidRPr="00E57A64" w:rsidRDefault="0031670D" w:rsidP="00EC6011">
      <w:pPr>
        <w:pStyle w:val="CommentText"/>
        <w:spacing w:after="120"/>
        <w:rPr>
          <w:color w:val="000000" w:themeColor="text1"/>
        </w:rPr>
      </w:pPr>
      <w:r>
        <w:rPr>
          <w:color w:val="000000" w:themeColor="text1"/>
        </w:rPr>
        <w:t xml:space="preserve">It has been discussed for quite some time on how to handling reserved but unused resources due to ACK feedback. That is, whether these resources can be consider as released from other UE’s perspective. So far, it is only agreed that the Tx-UE can consider that the unused resources are released / can be part of the candidate resource set in another resource selection process. </w:t>
      </w:r>
      <w:r w:rsidR="00884CEB">
        <w:rPr>
          <w:color w:val="000000" w:themeColor="text1"/>
        </w:rPr>
        <w:t>In our view, this would be the safest approach, as other UEs can never be certain that these resources won’t still be used by the original Tx-UE for the planned retransmission. Since it is always a possibility that the original Tx-UE did not received the ACK feedback and continue to use the same resource for retransmission of the same TB, even if other “monitoring” UEs received the ACK correctly. Therefore, we propose the following.</w:t>
      </w:r>
    </w:p>
    <w:p w14:paraId="41EED586" w14:textId="7A2C33EA" w:rsidR="00EC6011" w:rsidRPr="003232C3" w:rsidRDefault="00EC6011" w:rsidP="00EC6011">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3</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special optimization/handling</w:t>
      </w:r>
      <w:r>
        <w:rPr>
          <w:rFonts w:ascii="Arial" w:hAnsi="Arial" w:cs="Arial"/>
          <w:b/>
          <w:i/>
          <w:color w:val="000000" w:themeColor="text1"/>
          <w:sz w:val="20"/>
        </w:rPr>
        <w:t xml:space="preserve"> of </w:t>
      </w:r>
      <w:r w:rsidRPr="00F32096">
        <w:rPr>
          <w:rFonts w:ascii="Arial" w:hAnsi="Arial" w:cs="Arial"/>
          <w:b/>
          <w:i/>
          <w:color w:val="000000" w:themeColor="text1"/>
          <w:sz w:val="20"/>
        </w:rPr>
        <w:t>reserved but unused resources</w:t>
      </w:r>
      <w:r>
        <w:rPr>
          <w:rFonts w:ascii="Arial" w:hAnsi="Arial" w:cs="Arial"/>
          <w:b/>
          <w:i/>
          <w:color w:val="000000" w:themeColor="text1"/>
          <w:sz w:val="20"/>
        </w:rPr>
        <w:t xml:space="preserve"> in mode 2.</w:t>
      </w:r>
    </w:p>
    <w:p w14:paraId="3A91C9E1" w14:textId="2810B53F" w:rsidR="00BC0557" w:rsidRPr="00BC0557" w:rsidRDefault="00BC0557" w:rsidP="00B37A8A">
      <w:pPr>
        <w:spacing w:after="120"/>
        <w:rPr>
          <w:b/>
          <w:sz w:val="22"/>
        </w:rPr>
      </w:pPr>
      <w:r w:rsidRPr="00BC0557">
        <w:rPr>
          <w:b/>
          <w:sz w:val="22"/>
        </w:rPr>
        <w:t>3. Conclusion</w:t>
      </w:r>
    </w:p>
    <w:p w14:paraId="05FA8798" w14:textId="24C73A33" w:rsidR="00BC0557" w:rsidRPr="00F6691C" w:rsidRDefault="002B5BE0" w:rsidP="00FE729C">
      <w:pPr>
        <w:spacing w:after="240"/>
        <w:rPr>
          <w:iCs/>
          <w:color w:val="FF0000"/>
          <w:sz w:val="20"/>
          <w:szCs w:val="20"/>
        </w:rPr>
      </w:pPr>
      <w:r w:rsidRPr="005E0300">
        <w:rPr>
          <w:color w:val="000000" w:themeColor="text1"/>
          <w:sz w:val="20"/>
        </w:rPr>
        <w:t xml:space="preserve">In this contribution, we </w:t>
      </w:r>
      <w:r w:rsidR="000245F2" w:rsidRPr="005E0300">
        <w:rPr>
          <w:color w:val="000000" w:themeColor="text1"/>
          <w:sz w:val="20"/>
        </w:rPr>
        <w:t>briefly discussed about</w:t>
      </w:r>
      <w:r w:rsidR="00BD4B6A" w:rsidRPr="005E0300">
        <w:rPr>
          <w:color w:val="000000" w:themeColor="text1"/>
          <w:sz w:val="20"/>
        </w:rPr>
        <w:t xml:space="preserve"> other</w:t>
      </w:r>
      <w:r w:rsidR="000245F2" w:rsidRPr="005E0300">
        <w:rPr>
          <w:color w:val="000000" w:themeColor="text1"/>
          <w:sz w:val="20"/>
        </w:rPr>
        <w:t xml:space="preserve"> </w:t>
      </w:r>
      <w:r w:rsidR="00BD4B6A" w:rsidRPr="005E0300">
        <w:rPr>
          <w:color w:val="000000" w:themeColor="text1"/>
          <w:sz w:val="20"/>
        </w:rPr>
        <w:t xml:space="preserve">smaller / </w:t>
      </w:r>
      <w:r w:rsidR="000245F2" w:rsidRPr="005E0300">
        <w:rPr>
          <w:color w:val="000000" w:themeColor="text1"/>
          <w:sz w:val="20"/>
        </w:rPr>
        <w:t xml:space="preserve">remaining aspects of </w:t>
      </w:r>
      <w:r w:rsidR="00BD4B6A" w:rsidRPr="005E0300">
        <w:rPr>
          <w:color w:val="000000" w:themeColor="text1"/>
          <w:sz w:val="20"/>
        </w:rPr>
        <w:t xml:space="preserve">the sensing </w:t>
      </w:r>
      <w:r w:rsidR="00BD4B6A" w:rsidRPr="000245F2">
        <w:rPr>
          <w:color w:val="000000" w:themeColor="text1"/>
          <w:sz w:val="20"/>
        </w:rPr>
        <w:t>procedure for mode 2</w:t>
      </w:r>
      <w:r w:rsidR="00BD4B6A">
        <w:rPr>
          <w:color w:val="000000" w:themeColor="text1"/>
          <w:sz w:val="20"/>
        </w:rPr>
        <w:t xml:space="preserve">, such as </w:t>
      </w:r>
      <w:r w:rsidR="00EC6011">
        <w:rPr>
          <w:color w:val="000000" w:themeColor="text1"/>
          <w:sz w:val="20"/>
        </w:rPr>
        <w:t xml:space="preserve">the time length of T0 for the sensing period still in </w:t>
      </w:r>
      <w:proofErr w:type="gramStart"/>
      <w:r w:rsidR="00EC6011">
        <w:rPr>
          <w:color w:val="000000" w:themeColor="text1"/>
          <w:sz w:val="20"/>
        </w:rPr>
        <w:t>[ ]</w:t>
      </w:r>
      <w:proofErr w:type="gramEnd"/>
      <w:r w:rsidR="00EC6011">
        <w:rPr>
          <w:color w:val="000000" w:themeColor="text1"/>
          <w:sz w:val="20"/>
        </w:rPr>
        <w:t>, half duplexing issue in groupcast and unicast, and handling of reserved but unused resources</w:t>
      </w:r>
      <w:r w:rsidR="00BD4B6A">
        <w:rPr>
          <w:color w:val="000000" w:themeColor="text1"/>
          <w:sz w:val="20"/>
        </w:rPr>
        <w:t>. Based on these discussions, we made the following proposals.</w:t>
      </w:r>
    </w:p>
    <w:p w14:paraId="143A40C6" w14:textId="77777777" w:rsidR="00884CEB" w:rsidRPr="003232C3" w:rsidRDefault="00884CEB" w:rsidP="00884CEB">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1</w:t>
      </w:r>
      <w:r w:rsidRPr="00E57A64">
        <w:rPr>
          <w:rFonts w:ascii="Arial" w:hAnsi="Arial" w:cs="Arial"/>
          <w:b/>
          <w:i/>
          <w:color w:val="000000" w:themeColor="text1"/>
          <w:sz w:val="20"/>
        </w:rPr>
        <w:t>: T0 should be made (pre)-configured between: 1000ms and 100ms.</w:t>
      </w:r>
    </w:p>
    <w:p w14:paraId="66214FC1" w14:textId="77777777" w:rsidR="00884CEB" w:rsidRPr="003232C3" w:rsidRDefault="00884CEB" w:rsidP="00884CEB">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2</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 xml:space="preserve">special optimization/handling for </w:t>
      </w:r>
      <w:r>
        <w:rPr>
          <w:rFonts w:ascii="Arial" w:hAnsi="Arial" w:cs="Arial"/>
          <w:b/>
          <w:i/>
          <w:color w:val="000000" w:themeColor="text1"/>
          <w:sz w:val="20"/>
        </w:rPr>
        <w:t xml:space="preserve">the </w:t>
      </w:r>
      <w:r w:rsidRPr="00F32096">
        <w:rPr>
          <w:rFonts w:ascii="Arial" w:hAnsi="Arial" w:cs="Arial"/>
          <w:b/>
          <w:i/>
          <w:color w:val="000000" w:themeColor="text1"/>
          <w:sz w:val="20"/>
        </w:rPr>
        <w:t xml:space="preserve">half-duplexing </w:t>
      </w:r>
      <w:r>
        <w:rPr>
          <w:rFonts w:ascii="Arial" w:hAnsi="Arial" w:cs="Arial"/>
          <w:b/>
          <w:i/>
          <w:color w:val="000000" w:themeColor="text1"/>
          <w:sz w:val="20"/>
        </w:rPr>
        <w:t>issue in groupcast and unicast.</w:t>
      </w:r>
    </w:p>
    <w:p w14:paraId="6757C051" w14:textId="77777777" w:rsidR="00884CEB" w:rsidRPr="003232C3" w:rsidRDefault="00884CEB" w:rsidP="00884CEB">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3</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special optimization/handling</w:t>
      </w:r>
      <w:r>
        <w:rPr>
          <w:rFonts w:ascii="Arial" w:hAnsi="Arial" w:cs="Arial"/>
          <w:b/>
          <w:i/>
          <w:color w:val="000000" w:themeColor="text1"/>
          <w:sz w:val="20"/>
        </w:rPr>
        <w:t xml:space="preserve"> of </w:t>
      </w:r>
      <w:r w:rsidRPr="00F32096">
        <w:rPr>
          <w:rFonts w:ascii="Arial" w:hAnsi="Arial" w:cs="Arial"/>
          <w:b/>
          <w:i/>
          <w:color w:val="000000" w:themeColor="text1"/>
          <w:sz w:val="20"/>
        </w:rPr>
        <w:t>reserved but unused resources</w:t>
      </w:r>
      <w:r>
        <w:rPr>
          <w:rFonts w:ascii="Arial" w:hAnsi="Arial" w:cs="Arial"/>
          <w:b/>
          <w:i/>
          <w:color w:val="000000" w:themeColor="text1"/>
          <w:sz w:val="20"/>
        </w:rPr>
        <w:t xml:space="preserve"> in mode 2.</w:t>
      </w:r>
    </w:p>
    <w:p w14:paraId="57A6311F" w14:textId="77777777" w:rsidR="00884CEB" w:rsidRDefault="00884CEB" w:rsidP="00B37A8A">
      <w:pPr>
        <w:spacing w:after="120"/>
        <w:rPr>
          <w:b/>
          <w:sz w:val="22"/>
        </w:rPr>
      </w:pPr>
    </w:p>
    <w:p w14:paraId="37E830A0" w14:textId="2C79CC7A" w:rsidR="00BC0557" w:rsidRPr="00BC0557" w:rsidRDefault="00BC0557" w:rsidP="00B37A8A">
      <w:pPr>
        <w:spacing w:after="120"/>
        <w:rPr>
          <w:b/>
          <w:sz w:val="22"/>
        </w:rPr>
      </w:pPr>
      <w:r w:rsidRPr="00BC0557">
        <w:rPr>
          <w:b/>
          <w:sz w:val="22"/>
        </w:rPr>
        <w:t>4. References</w:t>
      </w:r>
    </w:p>
    <w:p w14:paraId="619E2E02" w14:textId="5272A012" w:rsidR="00BC0557" w:rsidRPr="005E0300" w:rsidRDefault="002E5896" w:rsidP="002E5896">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t>RAN1#99 Chairman’s notes (final version)</w:t>
      </w:r>
    </w:p>
    <w:sectPr w:rsidR="00BC0557" w:rsidRPr="005E030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E3E1A" w14:textId="77777777" w:rsidR="00542DC9" w:rsidRDefault="00542DC9" w:rsidP="00BE4192">
      <w:r>
        <w:separator/>
      </w:r>
    </w:p>
  </w:endnote>
  <w:endnote w:type="continuationSeparator" w:id="0">
    <w:p w14:paraId="24B2F785" w14:textId="77777777" w:rsidR="00542DC9" w:rsidRDefault="00542DC9"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C86E8" w14:textId="77777777" w:rsidR="00542DC9" w:rsidRDefault="00542DC9" w:rsidP="00BE4192">
      <w:r>
        <w:separator/>
      </w:r>
    </w:p>
  </w:footnote>
  <w:footnote w:type="continuationSeparator" w:id="0">
    <w:p w14:paraId="1C0165D1" w14:textId="77777777" w:rsidR="00542DC9" w:rsidRDefault="00542DC9"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
  </w:num>
  <w:num w:numId="4">
    <w:abstractNumId w:val="7"/>
  </w:num>
  <w:num w:numId="5">
    <w:abstractNumId w:val="0"/>
  </w:num>
  <w:num w:numId="6">
    <w:abstractNumId w:val="13"/>
  </w:num>
  <w:num w:numId="7">
    <w:abstractNumId w:val="5"/>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14"/>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3"/>
  </w:num>
  <w:num w:numId="27">
    <w:abstractNumId w:val="10"/>
  </w:num>
  <w:num w:numId="28">
    <w:abstractNumId w:val="2"/>
  </w:num>
  <w:num w:numId="29">
    <w:abstractNumId w:val="15"/>
  </w:num>
  <w:num w:numId="30">
    <w:abstractNumId w:val="6"/>
  </w:num>
  <w:num w:numId="31">
    <w:abstractNumId w:val="12"/>
  </w:num>
  <w:num w:numId="32">
    <w:abstractNumId w:val="11"/>
  </w:num>
  <w:num w:numId="3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245F2"/>
    <w:rsid w:val="00034C0A"/>
    <w:rsid w:val="00037BED"/>
    <w:rsid w:val="00041351"/>
    <w:rsid w:val="000422FF"/>
    <w:rsid w:val="00043922"/>
    <w:rsid w:val="000515EF"/>
    <w:rsid w:val="000556E9"/>
    <w:rsid w:val="000572DE"/>
    <w:rsid w:val="0006095C"/>
    <w:rsid w:val="00061D6C"/>
    <w:rsid w:val="00065E3A"/>
    <w:rsid w:val="0006702A"/>
    <w:rsid w:val="00074CFA"/>
    <w:rsid w:val="00077D61"/>
    <w:rsid w:val="00081F81"/>
    <w:rsid w:val="0009004A"/>
    <w:rsid w:val="00096574"/>
    <w:rsid w:val="000A060D"/>
    <w:rsid w:val="000C343E"/>
    <w:rsid w:val="000C4213"/>
    <w:rsid w:val="000E1700"/>
    <w:rsid w:val="000E192C"/>
    <w:rsid w:val="000F0E1F"/>
    <w:rsid w:val="000F382D"/>
    <w:rsid w:val="00101E9D"/>
    <w:rsid w:val="001026B6"/>
    <w:rsid w:val="0010282C"/>
    <w:rsid w:val="00104C77"/>
    <w:rsid w:val="0011146C"/>
    <w:rsid w:val="00115988"/>
    <w:rsid w:val="00124663"/>
    <w:rsid w:val="001255ED"/>
    <w:rsid w:val="00130871"/>
    <w:rsid w:val="001335A1"/>
    <w:rsid w:val="00135207"/>
    <w:rsid w:val="001361AE"/>
    <w:rsid w:val="0015578B"/>
    <w:rsid w:val="001579B9"/>
    <w:rsid w:val="00163C33"/>
    <w:rsid w:val="0017181F"/>
    <w:rsid w:val="0017433D"/>
    <w:rsid w:val="001848FC"/>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50C74"/>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E0D57"/>
    <w:rsid w:val="002E3062"/>
    <w:rsid w:val="002E5896"/>
    <w:rsid w:val="002F1BB5"/>
    <w:rsid w:val="002F3D84"/>
    <w:rsid w:val="00303C42"/>
    <w:rsid w:val="00307E95"/>
    <w:rsid w:val="0031303F"/>
    <w:rsid w:val="00315717"/>
    <w:rsid w:val="0031670D"/>
    <w:rsid w:val="00322817"/>
    <w:rsid w:val="003235E2"/>
    <w:rsid w:val="003249A0"/>
    <w:rsid w:val="0033062D"/>
    <w:rsid w:val="00333C4B"/>
    <w:rsid w:val="00334429"/>
    <w:rsid w:val="0033685D"/>
    <w:rsid w:val="00340C95"/>
    <w:rsid w:val="00351F5F"/>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07EDE"/>
    <w:rsid w:val="0041175A"/>
    <w:rsid w:val="00412FEB"/>
    <w:rsid w:val="00421BC7"/>
    <w:rsid w:val="00424CA3"/>
    <w:rsid w:val="00431874"/>
    <w:rsid w:val="00433B7F"/>
    <w:rsid w:val="0043671A"/>
    <w:rsid w:val="004562CB"/>
    <w:rsid w:val="00462BEF"/>
    <w:rsid w:val="00464896"/>
    <w:rsid w:val="00472670"/>
    <w:rsid w:val="004732D4"/>
    <w:rsid w:val="00480FE1"/>
    <w:rsid w:val="00483F9E"/>
    <w:rsid w:val="00487093"/>
    <w:rsid w:val="004A019F"/>
    <w:rsid w:val="004A1FF7"/>
    <w:rsid w:val="004A26DB"/>
    <w:rsid w:val="004A32DF"/>
    <w:rsid w:val="004A749B"/>
    <w:rsid w:val="004B1890"/>
    <w:rsid w:val="004C0BE3"/>
    <w:rsid w:val="004C3AC3"/>
    <w:rsid w:val="004C5F46"/>
    <w:rsid w:val="004E1DC3"/>
    <w:rsid w:val="004F1926"/>
    <w:rsid w:val="004F1DD9"/>
    <w:rsid w:val="004F5714"/>
    <w:rsid w:val="004F5C8B"/>
    <w:rsid w:val="004F71A1"/>
    <w:rsid w:val="005065CA"/>
    <w:rsid w:val="00507A85"/>
    <w:rsid w:val="00512651"/>
    <w:rsid w:val="00515EE2"/>
    <w:rsid w:val="005169A0"/>
    <w:rsid w:val="005200E3"/>
    <w:rsid w:val="00524DBF"/>
    <w:rsid w:val="00530404"/>
    <w:rsid w:val="0053468A"/>
    <w:rsid w:val="00537C4D"/>
    <w:rsid w:val="00542DC9"/>
    <w:rsid w:val="00547912"/>
    <w:rsid w:val="00553A5E"/>
    <w:rsid w:val="00553E0E"/>
    <w:rsid w:val="00556224"/>
    <w:rsid w:val="00560BB1"/>
    <w:rsid w:val="005663A1"/>
    <w:rsid w:val="00567886"/>
    <w:rsid w:val="00581BC7"/>
    <w:rsid w:val="0058348A"/>
    <w:rsid w:val="005848C4"/>
    <w:rsid w:val="0058544B"/>
    <w:rsid w:val="00590DF4"/>
    <w:rsid w:val="00595AE6"/>
    <w:rsid w:val="00595D99"/>
    <w:rsid w:val="00596F29"/>
    <w:rsid w:val="005A239B"/>
    <w:rsid w:val="005A2BD5"/>
    <w:rsid w:val="005B52F3"/>
    <w:rsid w:val="005D53B2"/>
    <w:rsid w:val="005D68BE"/>
    <w:rsid w:val="005D7577"/>
    <w:rsid w:val="005E0186"/>
    <w:rsid w:val="005E0300"/>
    <w:rsid w:val="005E3081"/>
    <w:rsid w:val="005E3E62"/>
    <w:rsid w:val="005E4B64"/>
    <w:rsid w:val="00610636"/>
    <w:rsid w:val="00615CA2"/>
    <w:rsid w:val="00617A1A"/>
    <w:rsid w:val="006341DB"/>
    <w:rsid w:val="00644701"/>
    <w:rsid w:val="00647219"/>
    <w:rsid w:val="0064734C"/>
    <w:rsid w:val="00647ED2"/>
    <w:rsid w:val="00650A7C"/>
    <w:rsid w:val="006557A6"/>
    <w:rsid w:val="00662EE3"/>
    <w:rsid w:val="0066661B"/>
    <w:rsid w:val="0067027D"/>
    <w:rsid w:val="00677967"/>
    <w:rsid w:val="0068389E"/>
    <w:rsid w:val="00685421"/>
    <w:rsid w:val="006924E3"/>
    <w:rsid w:val="006961D5"/>
    <w:rsid w:val="006A0D39"/>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17738"/>
    <w:rsid w:val="007205CD"/>
    <w:rsid w:val="007211CF"/>
    <w:rsid w:val="00725B1A"/>
    <w:rsid w:val="00730598"/>
    <w:rsid w:val="00732A2F"/>
    <w:rsid w:val="0073388D"/>
    <w:rsid w:val="0073787F"/>
    <w:rsid w:val="00740432"/>
    <w:rsid w:val="0074470F"/>
    <w:rsid w:val="00746950"/>
    <w:rsid w:val="007470FC"/>
    <w:rsid w:val="00751BC6"/>
    <w:rsid w:val="00761E1E"/>
    <w:rsid w:val="00765C12"/>
    <w:rsid w:val="00775B4E"/>
    <w:rsid w:val="00784838"/>
    <w:rsid w:val="00784F1F"/>
    <w:rsid w:val="0079341C"/>
    <w:rsid w:val="007A28A1"/>
    <w:rsid w:val="007A2F96"/>
    <w:rsid w:val="007A5390"/>
    <w:rsid w:val="007B71D7"/>
    <w:rsid w:val="007C49D5"/>
    <w:rsid w:val="007C6719"/>
    <w:rsid w:val="007D1457"/>
    <w:rsid w:val="007D42DE"/>
    <w:rsid w:val="007D4EFC"/>
    <w:rsid w:val="007E204F"/>
    <w:rsid w:val="007E3B10"/>
    <w:rsid w:val="007F27B4"/>
    <w:rsid w:val="007F69F4"/>
    <w:rsid w:val="00801776"/>
    <w:rsid w:val="00807104"/>
    <w:rsid w:val="0080739E"/>
    <w:rsid w:val="008309FB"/>
    <w:rsid w:val="008311C0"/>
    <w:rsid w:val="00834D19"/>
    <w:rsid w:val="00842ABF"/>
    <w:rsid w:val="008466AB"/>
    <w:rsid w:val="008517CA"/>
    <w:rsid w:val="00861D99"/>
    <w:rsid w:val="008702AB"/>
    <w:rsid w:val="00870C46"/>
    <w:rsid w:val="008763EB"/>
    <w:rsid w:val="00884CEB"/>
    <w:rsid w:val="00887A6B"/>
    <w:rsid w:val="00893766"/>
    <w:rsid w:val="008951F3"/>
    <w:rsid w:val="00897CA5"/>
    <w:rsid w:val="008A04CD"/>
    <w:rsid w:val="008A2078"/>
    <w:rsid w:val="008B23FA"/>
    <w:rsid w:val="008C58E2"/>
    <w:rsid w:val="008C7C92"/>
    <w:rsid w:val="008D0309"/>
    <w:rsid w:val="008D03E3"/>
    <w:rsid w:val="008D4AD9"/>
    <w:rsid w:val="008D596C"/>
    <w:rsid w:val="008E1750"/>
    <w:rsid w:val="008E2969"/>
    <w:rsid w:val="008E48BB"/>
    <w:rsid w:val="008F13F5"/>
    <w:rsid w:val="00913015"/>
    <w:rsid w:val="0091555F"/>
    <w:rsid w:val="009172B4"/>
    <w:rsid w:val="00922DB9"/>
    <w:rsid w:val="00925643"/>
    <w:rsid w:val="00926836"/>
    <w:rsid w:val="00934055"/>
    <w:rsid w:val="00937738"/>
    <w:rsid w:val="00937F3F"/>
    <w:rsid w:val="00942652"/>
    <w:rsid w:val="00956329"/>
    <w:rsid w:val="009568AB"/>
    <w:rsid w:val="00960990"/>
    <w:rsid w:val="00961BD9"/>
    <w:rsid w:val="00964ECF"/>
    <w:rsid w:val="00973AAA"/>
    <w:rsid w:val="0097733C"/>
    <w:rsid w:val="009927AB"/>
    <w:rsid w:val="0099441A"/>
    <w:rsid w:val="00994D71"/>
    <w:rsid w:val="009A2F69"/>
    <w:rsid w:val="009A4F26"/>
    <w:rsid w:val="009B1E92"/>
    <w:rsid w:val="009B7A94"/>
    <w:rsid w:val="009C3252"/>
    <w:rsid w:val="009D36ED"/>
    <w:rsid w:val="009E23F6"/>
    <w:rsid w:val="009E39EB"/>
    <w:rsid w:val="009E5D9A"/>
    <w:rsid w:val="009E72D9"/>
    <w:rsid w:val="00A0469B"/>
    <w:rsid w:val="00A220C6"/>
    <w:rsid w:val="00A32F51"/>
    <w:rsid w:val="00A343D7"/>
    <w:rsid w:val="00A4016A"/>
    <w:rsid w:val="00A41878"/>
    <w:rsid w:val="00A550D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635B"/>
    <w:rsid w:val="00AD6C87"/>
    <w:rsid w:val="00AE4128"/>
    <w:rsid w:val="00AF1050"/>
    <w:rsid w:val="00AF40F9"/>
    <w:rsid w:val="00AF7F54"/>
    <w:rsid w:val="00B04603"/>
    <w:rsid w:val="00B16C77"/>
    <w:rsid w:val="00B27F1B"/>
    <w:rsid w:val="00B27F53"/>
    <w:rsid w:val="00B37A8A"/>
    <w:rsid w:val="00B427DB"/>
    <w:rsid w:val="00B53F50"/>
    <w:rsid w:val="00B5525B"/>
    <w:rsid w:val="00B63920"/>
    <w:rsid w:val="00B666AA"/>
    <w:rsid w:val="00B6700B"/>
    <w:rsid w:val="00B75259"/>
    <w:rsid w:val="00B93A63"/>
    <w:rsid w:val="00B95608"/>
    <w:rsid w:val="00BA4948"/>
    <w:rsid w:val="00BC0557"/>
    <w:rsid w:val="00BC1AD3"/>
    <w:rsid w:val="00BC4037"/>
    <w:rsid w:val="00BC6146"/>
    <w:rsid w:val="00BD02C1"/>
    <w:rsid w:val="00BD0D0D"/>
    <w:rsid w:val="00BD497B"/>
    <w:rsid w:val="00BD4B6A"/>
    <w:rsid w:val="00BD7A26"/>
    <w:rsid w:val="00BE0223"/>
    <w:rsid w:val="00BE36E7"/>
    <w:rsid w:val="00BE4192"/>
    <w:rsid w:val="00BE7F1B"/>
    <w:rsid w:val="00BF4438"/>
    <w:rsid w:val="00BF4D1A"/>
    <w:rsid w:val="00BF53F4"/>
    <w:rsid w:val="00C01F0E"/>
    <w:rsid w:val="00C16B46"/>
    <w:rsid w:val="00C20911"/>
    <w:rsid w:val="00C20D72"/>
    <w:rsid w:val="00C21861"/>
    <w:rsid w:val="00C228E9"/>
    <w:rsid w:val="00C25612"/>
    <w:rsid w:val="00C402E1"/>
    <w:rsid w:val="00C409D0"/>
    <w:rsid w:val="00C411BD"/>
    <w:rsid w:val="00C42285"/>
    <w:rsid w:val="00C47301"/>
    <w:rsid w:val="00C5200A"/>
    <w:rsid w:val="00C53F39"/>
    <w:rsid w:val="00C54376"/>
    <w:rsid w:val="00C651AC"/>
    <w:rsid w:val="00C66012"/>
    <w:rsid w:val="00C7189F"/>
    <w:rsid w:val="00C757DF"/>
    <w:rsid w:val="00C77397"/>
    <w:rsid w:val="00C83ACD"/>
    <w:rsid w:val="00C90D7A"/>
    <w:rsid w:val="00C9262C"/>
    <w:rsid w:val="00C94DA6"/>
    <w:rsid w:val="00C9793B"/>
    <w:rsid w:val="00CA3B8F"/>
    <w:rsid w:val="00CA415C"/>
    <w:rsid w:val="00CA5257"/>
    <w:rsid w:val="00CB5A69"/>
    <w:rsid w:val="00CC3601"/>
    <w:rsid w:val="00CD10BF"/>
    <w:rsid w:val="00CD32AA"/>
    <w:rsid w:val="00CD4618"/>
    <w:rsid w:val="00CD7527"/>
    <w:rsid w:val="00CE11EF"/>
    <w:rsid w:val="00CE4EF4"/>
    <w:rsid w:val="00CF0F3F"/>
    <w:rsid w:val="00CF1603"/>
    <w:rsid w:val="00CF662F"/>
    <w:rsid w:val="00D0622D"/>
    <w:rsid w:val="00D06FC4"/>
    <w:rsid w:val="00D17E5C"/>
    <w:rsid w:val="00D25977"/>
    <w:rsid w:val="00D30076"/>
    <w:rsid w:val="00D36A9A"/>
    <w:rsid w:val="00D371F0"/>
    <w:rsid w:val="00D41775"/>
    <w:rsid w:val="00D46902"/>
    <w:rsid w:val="00D4735E"/>
    <w:rsid w:val="00D539AC"/>
    <w:rsid w:val="00D5657B"/>
    <w:rsid w:val="00D618B8"/>
    <w:rsid w:val="00D66780"/>
    <w:rsid w:val="00D667C2"/>
    <w:rsid w:val="00D715A7"/>
    <w:rsid w:val="00D81A9E"/>
    <w:rsid w:val="00D9103D"/>
    <w:rsid w:val="00D92A54"/>
    <w:rsid w:val="00D938DF"/>
    <w:rsid w:val="00D953D7"/>
    <w:rsid w:val="00DA1D9B"/>
    <w:rsid w:val="00DA503C"/>
    <w:rsid w:val="00DA5560"/>
    <w:rsid w:val="00DB27B3"/>
    <w:rsid w:val="00DB5477"/>
    <w:rsid w:val="00DB74DE"/>
    <w:rsid w:val="00DC3D08"/>
    <w:rsid w:val="00DD0972"/>
    <w:rsid w:val="00DD5D1E"/>
    <w:rsid w:val="00DD6F8A"/>
    <w:rsid w:val="00DD76EF"/>
    <w:rsid w:val="00DE0272"/>
    <w:rsid w:val="00DE4A20"/>
    <w:rsid w:val="00DF0CD4"/>
    <w:rsid w:val="00DF6403"/>
    <w:rsid w:val="00E02AFB"/>
    <w:rsid w:val="00E1139F"/>
    <w:rsid w:val="00E150F5"/>
    <w:rsid w:val="00E22E70"/>
    <w:rsid w:val="00E27D57"/>
    <w:rsid w:val="00E3291E"/>
    <w:rsid w:val="00E45E9E"/>
    <w:rsid w:val="00E46A11"/>
    <w:rsid w:val="00E57A64"/>
    <w:rsid w:val="00E6467D"/>
    <w:rsid w:val="00E65009"/>
    <w:rsid w:val="00E7416D"/>
    <w:rsid w:val="00E80838"/>
    <w:rsid w:val="00E8167A"/>
    <w:rsid w:val="00E84129"/>
    <w:rsid w:val="00E876E6"/>
    <w:rsid w:val="00E91410"/>
    <w:rsid w:val="00E95251"/>
    <w:rsid w:val="00E97D14"/>
    <w:rsid w:val="00EA0E23"/>
    <w:rsid w:val="00EA1785"/>
    <w:rsid w:val="00EA7C34"/>
    <w:rsid w:val="00EB789F"/>
    <w:rsid w:val="00EC0064"/>
    <w:rsid w:val="00EC0139"/>
    <w:rsid w:val="00EC6011"/>
    <w:rsid w:val="00EC7920"/>
    <w:rsid w:val="00ED7A7F"/>
    <w:rsid w:val="00EE37B6"/>
    <w:rsid w:val="00EE68C6"/>
    <w:rsid w:val="00EF4B21"/>
    <w:rsid w:val="00EF740F"/>
    <w:rsid w:val="00F0620E"/>
    <w:rsid w:val="00F06CFB"/>
    <w:rsid w:val="00F07E97"/>
    <w:rsid w:val="00F13562"/>
    <w:rsid w:val="00F1741A"/>
    <w:rsid w:val="00F202C2"/>
    <w:rsid w:val="00F206F5"/>
    <w:rsid w:val="00F32096"/>
    <w:rsid w:val="00F40353"/>
    <w:rsid w:val="00F40A34"/>
    <w:rsid w:val="00F52419"/>
    <w:rsid w:val="00F61C0C"/>
    <w:rsid w:val="00F6691C"/>
    <w:rsid w:val="00F70EE3"/>
    <w:rsid w:val="00F73954"/>
    <w:rsid w:val="00F81D81"/>
    <w:rsid w:val="00F846EB"/>
    <w:rsid w:val="00F86A53"/>
    <w:rsid w:val="00F962E2"/>
    <w:rsid w:val="00FA4597"/>
    <w:rsid w:val="00FA57CD"/>
    <w:rsid w:val="00FA6B3E"/>
    <w:rsid w:val="00FB1655"/>
    <w:rsid w:val="00FB3774"/>
    <w:rsid w:val="00FB40BD"/>
    <w:rsid w:val="00FB5638"/>
    <w:rsid w:val="00FB7DA7"/>
    <w:rsid w:val="00FC0223"/>
    <w:rsid w:val="00FC20DD"/>
    <w:rsid w:val="00FC277D"/>
    <w:rsid w:val="00FC2C25"/>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qFormat/>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912E6-30F8-450E-A298-2E1B5532A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On other aspects of mode 2 resource allocation</vt:lpstr>
    </vt:vector>
  </TitlesOfParts>
  <Company>Guangdong OPPO Mobile Telecom</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other aspects of mode 2 resource allocation</dc:title>
  <dc:subject>NR-V2X</dc:subject>
  <dc:creator>Kevin.Lin@oppo.com</dc:creator>
  <cp:keywords>RAN1#101-e</cp:keywords>
  <dc:description>Final version for submission</dc:description>
  <cp:lastModifiedBy>Kevin Lin</cp:lastModifiedBy>
  <cp:revision>6</cp:revision>
  <dcterms:created xsi:type="dcterms:W3CDTF">2020-04-10T09:20:00Z</dcterms:created>
  <dcterms:modified xsi:type="dcterms:W3CDTF">2020-05-15T06:32:00Z</dcterms:modified>
  <cp:category>Resource allocation others</cp:category>
</cp:coreProperties>
</file>